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rPr>
          <w:rFonts w:ascii="Times New Roman" w:hAnsi="Times New Roman" w:eastAsia="仿宋_GB2312" w:cs="Times New Roman"/>
          <w:bCs/>
          <w:color w:val="000000"/>
          <w:spacing w:val="15"/>
          <w:sz w:val="32"/>
          <w:szCs w:val="32"/>
        </w:rPr>
      </w:pPr>
    </w:p>
    <w:p>
      <w:pPr>
        <w:spacing w:line="530" w:lineRule="exact"/>
        <w:jc w:val="center"/>
        <w:rPr>
          <w:rFonts w:ascii="Times New Roman" w:hAnsi="Times New Roman" w:eastAsia="方正小标宋简体" w:cs="Times New Roman"/>
          <w:bCs/>
          <w:color w:val="000000"/>
          <w:spacing w:val="15"/>
          <w:sz w:val="48"/>
          <w:szCs w:val="48"/>
        </w:rPr>
      </w:pPr>
      <w:r>
        <w:rPr>
          <w:rFonts w:hint="eastAsia" w:ascii="Times New Roman" w:hAnsi="Times New Roman" w:eastAsia="方正小标宋简体" w:cs="Times New Roman"/>
          <w:bCs/>
          <w:color w:val="000000"/>
          <w:spacing w:val="15"/>
          <w:sz w:val="48"/>
          <w:szCs w:val="48"/>
        </w:rPr>
        <w:t>金华市排污权储备交易中心</w:t>
      </w:r>
      <w:r>
        <w:rPr>
          <w:rFonts w:ascii="Times New Roman" w:hAnsi="Times New Roman" w:eastAsia="方正小标宋简体" w:cs="Times New Roman"/>
          <w:bCs/>
          <w:color w:val="000000"/>
          <w:spacing w:val="15"/>
          <w:sz w:val="48"/>
          <w:szCs w:val="48"/>
        </w:rPr>
        <w:t>2</w:t>
      </w:r>
      <w:r>
        <w:rPr>
          <w:rFonts w:hint="eastAsia" w:ascii="Times New Roman" w:hAnsi="Times New Roman" w:eastAsia="方正小标宋简体" w:cs="Times New Roman"/>
          <w:bCs/>
          <w:color w:val="000000"/>
          <w:spacing w:val="15"/>
          <w:sz w:val="48"/>
          <w:szCs w:val="48"/>
          <w:lang w:eastAsia="zh-CN"/>
        </w:rPr>
        <w:t>0</w:t>
      </w:r>
      <w:r>
        <w:rPr>
          <w:rFonts w:ascii="Times New Roman" w:hAnsi="Times New Roman" w:eastAsia="方正小标宋简体" w:cs="Times New Roman"/>
          <w:bCs/>
          <w:color w:val="000000"/>
          <w:spacing w:val="15"/>
          <w:sz w:val="48"/>
          <w:szCs w:val="48"/>
        </w:rPr>
        <w:t>21年</w:t>
      </w:r>
    </w:p>
    <w:p>
      <w:pPr>
        <w:spacing w:line="530" w:lineRule="exact"/>
        <w:jc w:val="center"/>
        <w:rPr>
          <w:rStyle w:val="7"/>
          <w:rFonts w:ascii="Times New Roman" w:hAnsi="Times New Roman" w:eastAsia="方正小标宋简体" w:cs="Times New Roman"/>
          <w:color w:val="000000"/>
          <w:sz w:val="48"/>
          <w:szCs w:val="48"/>
        </w:rPr>
      </w:pPr>
      <w:r>
        <w:rPr>
          <w:rFonts w:hint="eastAsia" w:ascii="Times New Roman" w:hAnsi="Times New Roman" w:eastAsia="方正小标宋简体" w:cs="Times New Roman"/>
          <w:bCs/>
          <w:color w:val="000000"/>
          <w:spacing w:val="15"/>
          <w:sz w:val="48"/>
          <w:szCs w:val="48"/>
        </w:rPr>
        <w:t>单位预算</w:t>
      </w:r>
    </w:p>
    <w:p>
      <w:pPr>
        <w:spacing w:line="530" w:lineRule="exact"/>
        <w:ind w:firstLine="588" w:firstLineChars="196"/>
        <w:rPr>
          <w:rStyle w:val="7"/>
          <w:rFonts w:ascii="Times New Roman" w:hAnsi="Times New Roman" w:cs="Times New Roman"/>
          <w:b w:val="0"/>
          <w:bCs w:val="0"/>
          <w:color w:val="000000"/>
          <w:sz w:val="30"/>
          <w:szCs w:val="30"/>
        </w:rPr>
      </w:pPr>
    </w:p>
    <w:p>
      <w:pPr>
        <w:adjustRightInd w:val="0"/>
        <w:snapToGrid w:val="0"/>
        <w:spacing w:line="560" w:lineRule="exact"/>
        <w:ind w:firstLine="627" w:firstLineChars="196"/>
        <w:rPr>
          <w:rStyle w:val="7"/>
          <w:rFonts w:ascii="Times New Roman" w:hAnsi="Times New Roman" w:eastAsia="黑体" w:cs="Times New Roman"/>
          <w:b w:val="0"/>
          <w:bCs w:val="0"/>
          <w:color w:val="000000"/>
        </w:rPr>
      </w:pPr>
      <w:r>
        <w:rPr>
          <w:rStyle w:val="7"/>
          <w:rFonts w:ascii="Times New Roman" w:hAnsi="Times New Roman" w:eastAsia="黑体" w:cs="Times New Roman"/>
          <w:b w:val="0"/>
          <w:bCs w:val="0"/>
          <w:color w:val="000000"/>
        </w:rPr>
        <w:t>一、</w:t>
      </w:r>
      <w:r>
        <w:rPr>
          <w:rFonts w:ascii="Times New Roman" w:hAnsi="Times New Roman" w:eastAsia="黑体" w:cs="Times New Roman"/>
          <w:color w:val="000000"/>
          <w:sz w:val="32"/>
          <w:szCs w:val="32"/>
        </w:rPr>
        <w:t>金华市</w:t>
      </w:r>
      <w:r>
        <w:rPr>
          <w:rFonts w:hint="eastAsia" w:ascii="Times New Roman" w:hAnsi="Times New Roman" w:eastAsia="黑体" w:cs="Times New Roman"/>
          <w:color w:val="000000"/>
          <w:sz w:val="32"/>
          <w:szCs w:val="32"/>
        </w:rPr>
        <w:t>排污权储备交易中心</w:t>
      </w:r>
      <w:r>
        <w:rPr>
          <w:rStyle w:val="7"/>
          <w:rFonts w:ascii="Times New Roman" w:hAnsi="Times New Roman" w:eastAsia="黑体" w:cs="Times New Roman"/>
          <w:b w:val="0"/>
          <w:bCs w:val="0"/>
          <w:color w:val="000000"/>
        </w:rPr>
        <w:t>概况</w:t>
      </w:r>
    </w:p>
    <w:p>
      <w:pPr>
        <w:adjustRightInd w:val="0"/>
        <w:snapToGrid w:val="0"/>
        <w:spacing w:line="560" w:lineRule="exact"/>
        <w:ind w:firstLine="627" w:firstLineChars="196"/>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（一）主要职能</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1、全市排污权储备体系和排污权交易管理；</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2、政府储备排污权收支管理；</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3、排污权交易平台的构建；</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4、排污权有偿使用和交易规则制定及业务办理；</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5、排污权交易活动监管；</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6、排污权指标的现场检查核对。</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（二）单位机构设置情况</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rPr>
        <w:t>从预算单位构成看，金华市排污权储备交易中心部门预算仅包括本单位预算</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rPr>
        <w:t>本单位内</w:t>
      </w:r>
      <w:r>
        <w:rPr>
          <w:rFonts w:hint="eastAsia" w:ascii="仿宋_GB2312" w:hAnsi="仿宋_GB2312" w:eastAsia="仿宋_GB2312" w:cs="仿宋_GB2312"/>
          <w:bCs/>
          <w:color w:val="000000"/>
          <w:sz w:val="32"/>
          <w:szCs w:val="32"/>
          <w:lang w:eastAsia="zh-CN"/>
        </w:rPr>
        <w:t>部科室</w:t>
      </w:r>
      <w:r>
        <w:rPr>
          <w:rFonts w:hint="eastAsia" w:ascii="仿宋_GB2312" w:hAnsi="仿宋_GB2312" w:eastAsia="仿宋_GB2312" w:cs="仿宋_GB2312"/>
          <w:bCs/>
          <w:color w:val="000000"/>
          <w:sz w:val="32"/>
          <w:szCs w:val="32"/>
        </w:rPr>
        <w:t>设：</w:t>
      </w:r>
      <w:r>
        <w:rPr>
          <w:rFonts w:hint="eastAsia" w:ascii="仿宋_GB2312" w:hAnsi="仿宋_GB2312" w:eastAsia="仿宋_GB2312" w:cs="仿宋_GB2312"/>
          <w:bCs/>
          <w:color w:val="000000"/>
          <w:sz w:val="32"/>
          <w:szCs w:val="32"/>
          <w:lang w:eastAsia="zh-CN"/>
        </w:rPr>
        <w:t>综合科</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业务</w:t>
      </w:r>
      <w:r>
        <w:rPr>
          <w:rFonts w:hint="eastAsia" w:ascii="仿宋_GB2312" w:hAnsi="仿宋_GB2312" w:eastAsia="仿宋_GB2312" w:cs="仿宋_GB2312"/>
          <w:bCs/>
          <w:color w:val="000000"/>
          <w:sz w:val="32"/>
          <w:szCs w:val="32"/>
        </w:rPr>
        <w:t>处</w:t>
      </w:r>
      <w:r>
        <w:rPr>
          <w:rFonts w:hint="eastAsia" w:ascii="仿宋_GB2312" w:hAnsi="仿宋_GB2312" w:eastAsia="仿宋_GB2312" w:cs="仿宋_GB2312"/>
          <w:bCs/>
          <w:color w:val="000000"/>
          <w:sz w:val="32"/>
          <w:szCs w:val="32"/>
          <w:lang w:eastAsia="zh-CN"/>
        </w:rPr>
        <w:t>。</w:t>
      </w:r>
    </w:p>
    <w:p>
      <w:pPr>
        <w:numPr>
          <w:ilvl w:val="255"/>
          <w:numId w:val="0"/>
        </w:numPr>
        <w:adjustRightInd w:val="0"/>
        <w:snapToGrid w:val="0"/>
        <w:spacing w:line="560" w:lineRule="exact"/>
        <w:ind w:firstLine="640" w:firstLineChars="200"/>
        <w:rPr>
          <w:rFonts w:hint="eastAsia" w:ascii="黑体" w:hAnsi="黑体" w:eastAsia="黑体" w:cs="黑体"/>
          <w:b/>
          <w:color w:val="000000"/>
          <w:sz w:val="32"/>
          <w:szCs w:val="32"/>
        </w:rPr>
      </w:pPr>
      <w:r>
        <w:rPr>
          <w:rStyle w:val="7"/>
          <w:rFonts w:hint="eastAsia" w:ascii="黑体" w:hAnsi="黑体" w:eastAsia="黑体" w:cs="黑体"/>
          <w:b w:val="0"/>
          <w:color w:val="000000"/>
        </w:rPr>
        <w:t>二、金华市排污权储备交易中心2</w:t>
      </w:r>
      <w:r>
        <w:rPr>
          <w:rStyle w:val="7"/>
          <w:rFonts w:hint="eastAsia" w:ascii="黑体" w:hAnsi="黑体" w:eastAsia="黑体" w:cs="黑体"/>
          <w:b w:val="0"/>
          <w:color w:val="000000"/>
          <w:lang w:eastAsia="zh-CN"/>
        </w:rPr>
        <w:t>0</w:t>
      </w:r>
      <w:r>
        <w:rPr>
          <w:rStyle w:val="7"/>
          <w:rFonts w:hint="eastAsia" w:ascii="黑体" w:hAnsi="黑体" w:eastAsia="黑体" w:cs="黑体"/>
          <w:b w:val="0"/>
          <w:color w:val="000000"/>
        </w:rPr>
        <w:t>21年单位预算安排情况说明</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（一）关于金华市排污权储备交易中心2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21年收支预算情况的总体说明</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按照综合预算的原则，</w:t>
      </w:r>
      <w:r>
        <w:rPr>
          <w:rFonts w:hint="eastAsia" w:ascii="仿宋_GB2312" w:hAnsi="仿宋_GB2312" w:eastAsia="仿宋_GB2312" w:cs="仿宋_GB2312"/>
          <w:color w:val="000000"/>
          <w:sz w:val="32"/>
          <w:szCs w:val="32"/>
        </w:rPr>
        <w:t>金华市排污权储备交易中心</w:t>
      </w:r>
      <w:r>
        <w:rPr>
          <w:rFonts w:hint="eastAsia" w:ascii="仿宋_GB2312" w:hAnsi="仿宋_GB2312" w:eastAsia="仿宋_GB2312" w:cs="仿宋_GB2312"/>
          <w:bCs/>
          <w:color w:val="000000"/>
          <w:sz w:val="32"/>
          <w:szCs w:val="32"/>
        </w:rPr>
        <w:t>所有收入和支出均纳入单位预算管理。收入包括：一般公共预算拨款收入；支出包括：教育支出、社会保障和就业支出、卫生健康支出、节能环保支出、住房保障支出等。</w:t>
      </w:r>
      <w:r>
        <w:rPr>
          <w:rFonts w:hint="eastAsia" w:ascii="仿宋_GB2312" w:hAnsi="仿宋_GB2312" w:eastAsia="仿宋_GB2312" w:cs="仿宋_GB2312"/>
          <w:color w:val="000000"/>
          <w:sz w:val="32"/>
          <w:szCs w:val="32"/>
        </w:rPr>
        <w:t>金华市排污权储备交易中心</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21年收支总预算11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（二）关于金华市排污权储备交易中心2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21年收入预算情况说明</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金华市排污权储备交易中心</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21年收入预算11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.46万元，其中：上年结转</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%；一般公共预算拨款收入11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.46万元，占</w:t>
      </w:r>
      <w:r>
        <w:rPr>
          <w:rFonts w:hint="eastAsia" w:ascii="仿宋_GB2312" w:hAnsi="仿宋_GB2312" w:eastAsia="仿宋_GB2312" w:cs="仿宋_GB2312"/>
          <w:bCs/>
          <w:color w:val="000000"/>
          <w:sz w:val="32"/>
          <w:szCs w:val="32"/>
          <w:lang w:eastAsia="zh-CN"/>
        </w:rPr>
        <w:t>100.0%</w:t>
      </w:r>
      <w:r>
        <w:rPr>
          <w:rFonts w:hint="eastAsia" w:ascii="仿宋_GB2312" w:hAnsi="仿宋_GB2312" w:eastAsia="仿宋_GB2312" w:cs="仿宋_GB2312"/>
          <w:bCs/>
          <w:color w:val="000000"/>
          <w:sz w:val="32"/>
          <w:szCs w:val="32"/>
        </w:rPr>
        <w:t>；财政专户管理的资金</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万元，占</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lang w:val="en-US" w:eastAsia="zh-CN"/>
        </w:rPr>
        <w:t>.0</w:t>
      </w:r>
      <w:r>
        <w:rPr>
          <w:rFonts w:hint="eastAsia" w:ascii="仿宋_GB2312" w:hAnsi="仿宋_GB2312" w:eastAsia="仿宋_GB2312" w:cs="仿宋_GB2312"/>
          <w:bCs/>
          <w:color w:val="000000"/>
          <w:sz w:val="32"/>
          <w:szCs w:val="32"/>
        </w:rPr>
        <w:t>%。</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（三）关于金华市排污权储备交易中心2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21年支出预算情况说明</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金华市排污权储备交易中心</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21年支出预算11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1.按支出功能分类，包括教育支出</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.91万元、社会保障和就业支出8.34万元、卫生健康支出3.29万元、节能环保支出87.95万元、住房保障支出9.97万元。</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2.按支出用途分类，包括人员支出86.53万元，占78.33%；日常公用支出1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.71万元，占9.7</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%；项目支出13.22万元，占11.97%。</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结转下年</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万元。</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（四）关于金华市排污权储备交易中心2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21年财政拨款收支预算情况的总体说明</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金华市排污权储备交易中心</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21年财政拨款收支总预算11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.46万元。收入包括：一般公共预算11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.46万元、政府性基金</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万元；支出包括：包括教育支出</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.91万元、社会保障和就业支出8.34万元、卫生健康支出3.29万元、节能环保支出87.95万元、住房保障支出9.97万元。</w:t>
      </w:r>
    </w:p>
    <w:p>
      <w:pPr>
        <w:numPr>
          <w:ilvl w:val="0"/>
          <w:numId w:val="1"/>
        </w:numPr>
        <w:adjustRightInd w:val="0"/>
        <w:snapToGrid w:val="0"/>
        <w:spacing w:line="560" w:lineRule="exact"/>
        <w:ind w:left="-220" w:leftChars="0" w:firstLine="64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21年一般公共预算当年拨款情况说明</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color w:val="000000"/>
          <w:sz w:val="32"/>
          <w:szCs w:val="32"/>
        </w:rPr>
        <w:t>1.一般公共预算当年拨款规模变化情况。</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金华市排污权储备交易中心2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21年一般公共预算当年拨款11</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.46万元，比2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年执行数减少14.</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4万元，主要是2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年项目已完成招投标，2</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21年仅支付尾款。</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2.一般公共预算当年拨款结构情况。</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教育支出</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.91万元，占</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.82%；社会保障和就业支出8.34万元，占7.55%；卫生健康支出3.29万元，占2.98%；节能环保支出87.95万元，占79.62%；住房保障支出9.97万元，占9.</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3%。</w:t>
      </w:r>
    </w:p>
    <w:p>
      <w:pPr>
        <w:pStyle w:val="12"/>
        <w:adjustRightInd w:val="0"/>
        <w:snapToGrid w:val="0"/>
        <w:spacing w:line="560" w:lineRule="exact"/>
        <w:ind w:left="420" w:firstLine="320" w:firstLineChars="1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3.一般公共预算当年拨款具体使用情况。</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（1）教育支出（类）进修及培训（款）培训支出（项）</w:t>
      </w:r>
      <w:r>
        <w:rPr>
          <w:rFonts w:hint="eastAsia" w:ascii="仿宋_GB2312" w:hAnsi="仿宋_GB2312" w:eastAsia="仿宋_GB2312" w:cs="仿宋_GB2312"/>
          <w:bCs/>
          <w:color w:val="000000"/>
          <w:sz w:val="32"/>
          <w:szCs w:val="32"/>
          <w:lang w:eastAsia="zh-CN"/>
        </w:rPr>
        <w:t>0</w:t>
      </w:r>
      <w:r>
        <w:rPr>
          <w:rFonts w:hint="eastAsia" w:ascii="仿宋_GB2312" w:hAnsi="仿宋_GB2312" w:eastAsia="仿宋_GB2312" w:cs="仿宋_GB2312"/>
          <w:bCs/>
          <w:color w:val="000000"/>
          <w:sz w:val="32"/>
          <w:szCs w:val="32"/>
        </w:rPr>
        <w:t>.91万元，主要用于单位业务培训；</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（2）社会保障和就业支出（类）行政事业单位养老支出（款）机关事业单位基本养老保险缴费支出（项）5.56万元，主要用于单位基本养老保险缴费；</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（3）社会保障和就业支出（类）行政事业单位养老支出（款）机关事业单位职业年金缴费支出（项）2.78万元，主要用于单位职业年金缴费；</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（4）卫生健康支出（类）行政事业单位医疗（款）事业单位医疗（项）3.29万元，主要用于单位医疗缴费；</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（5）节能环保支出（类）污染减排（款）生态环境监测与信息（项）74.73万元，主要用于单位基本支出；</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（6）节能环保支出（类）污染减排（款）其他污染减排支出（项）13.22万元，用于单位专项支出；</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（7）住房保障支出（类）住房改革支出（款）住房公积金（项）9.97万元，主要用于单位</w:t>
      </w:r>
      <w:r>
        <w:rPr>
          <w:rFonts w:hint="eastAsia" w:ascii="仿宋_GB2312" w:hAnsi="仿宋_GB2312" w:eastAsia="仿宋_GB2312" w:cs="仿宋_GB2312"/>
          <w:color w:val="000000"/>
          <w:sz w:val="32"/>
          <w:szCs w:val="32"/>
        </w:rPr>
        <w:t>职工缴纳的住房公积金</w:t>
      </w:r>
      <w:r>
        <w:rPr>
          <w:rFonts w:hint="eastAsia" w:ascii="仿宋_GB2312" w:hAnsi="仿宋_GB2312" w:eastAsia="仿宋_GB2312" w:cs="仿宋_GB2312"/>
          <w:bCs/>
          <w:color w:val="000000"/>
          <w:sz w:val="32"/>
          <w:szCs w:val="32"/>
        </w:rPr>
        <w:t>。</w:t>
      </w:r>
    </w:p>
    <w:p>
      <w:pPr>
        <w:adjustRightInd w:val="0"/>
        <w:snapToGrid w:val="0"/>
        <w:spacing w:line="560" w:lineRule="exact"/>
        <w:ind w:firstLine="640" w:firstLineChars="200"/>
        <w:rPr>
          <w:rFonts w:hint="eastAsia" w:ascii="楷体" w:hAnsi="楷体" w:eastAsia="楷体" w:cs="楷体"/>
          <w:b/>
          <w:bCs/>
          <w:color w:val="000000"/>
          <w:sz w:val="32"/>
          <w:szCs w:val="32"/>
        </w:rPr>
      </w:pPr>
      <w:r>
        <w:rPr>
          <w:rFonts w:hint="eastAsia" w:ascii="楷体" w:hAnsi="楷体" w:eastAsia="楷体" w:cs="楷体"/>
          <w:b w:val="0"/>
          <w:bCs w:val="0"/>
          <w:color w:val="000000"/>
          <w:sz w:val="32"/>
          <w:szCs w:val="32"/>
        </w:rPr>
        <w:t>（六）关于金华市排污权储备交易中心2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21年一般公共预算基本支出情况说明</w:t>
      </w:r>
    </w:p>
    <w:p>
      <w:pPr>
        <w:adjustRightInd w:val="0"/>
        <w:snapToGrid w:val="0"/>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金华市排污权储备交易中心2</w:t>
      </w:r>
      <w:r>
        <w:rPr>
          <w:rFonts w:hint="eastAsia" w:ascii="仿宋_GB2312" w:hAnsi="仿宋_GB2312" w:eastAsia="仿宋_GB2312" w:cs="仿宋_GB2312"/>
          <w:color w:val="000000"/>
          <w:sz w:val="32"/>
          <w:szCs w:val="32"/>
          <w:highlight w:val="none"/>
          <w:lang w:eastAsia="zh-CN"/>
        </w:rPr>
        <w:t>0</w:t>
      </w:r>
      <w:r>
        <w:rPr>
          <w:rFonts w:hint="eastAsia" w:ascii="仿宋_GB2312" w:hAnsi="仿宋_GB2312" w:eastAsia="仿宋_GB2312" w:cs="仿宋_GB2312"/>
          <w:color w:val="000000"/>
          <w:sz w:val="32"/>
          <w:szCs w:val="32"/>
          <w:highlight w:val="none"/>
        </w:rPr>
        <w:t>21年一般公共预算基本支出</w:t>
      </w:r>
      <w:r>
        <w:rPr>
          <w:rFonts w:hint="eastAsia" w:ascii="仿宋_GB2312" w:hAnsi="仿宋_GB2312" w:eastAsia="仿宋_GB2312" w:cs="仿宋_GB2312"/>
          <w:color w:val="000000"/>
          <w:sz w:val="32"/>
          <w:szCs w:val="32"/>
          <w:highlight w:val="none"/>
          <w:lang w:val="en-US" w:eastAsia="zh-CN"/>
        </w:rPr>
        <w:t>97.24</w:t>
      </w:r>
      <w:r>
        <w:rPr>
          <w:rFonts w:hint="eastAsia" w:ascii="仿宋_GB2312" w:hAnsi="仿宋_GB2312" w:eastAsia="仿宋_GB2312" w:cs="仿宋_GB2312"/>
          <w:color w:val="000000"/>
          <w:sz w:val="32"/>
          <w:szCs w:val="32"/>
          <w:highlight w:val="none"/>
        </w:rPr>
        <w:t>万元，其中：</w:t>
      </w:r>
    </w:p>
    <w:p>
      <w:pPr>
        <w:adjustRightInd w:val="0"/>
        <w:snapToGrid w:val="0"/>
        <w:spacing w:line="560" w:lineRule="exact"/>
        <w:ind w:firstLine="640" w:firstLineChars="200"/>
        <w:rPr>
          <w:rFonts w:hint="eastAsia" w:ascii="仿宋_GB2312" w:hAnsi="仿宋_GB2312" w:eastAsia="仿宋_GB2312" w:cs="仿宋_GB2312"/>
          <w:color w:val="000000"/>
          <w:sz w:val="32"/>
          <w:szCs w:val="32"/>
          <w:highlight w:val="none"/>
          <w:shd w:val="pct10" w:color="auto" w:fill="FFFFFF"/>
        </w:rPr>
      </w:pPr>
      <w:r>
        <w:rPr>
          <w:rFonts w:hint="eastAsia" w:ascii="仿宋_GB2312" w:hAnsi="仿宋_GB2312" w:eastAsia="仿宋_GB2312" w:cs="仿宋_GB2312"/>
          <w:color w:val="000000"/>
          <w:sz w:val="32"/>
          <w:szCs w:val="32"/>
          <w:highlight w:val="none"/>
        </w:rPr>
        <w:t>人员经费86.53万元，主要包括：基本工资、津贴补贴、奖金、绩效工资、机关事业单位基本养老保险缴费、职业年金缴费、职工基本医疗保险缴费、公务员医疗补助缴费、其他社会保障缴费、住房公积金、其他工资福利支出;</w:t>
      </w:r>
    </w:p>
    <w:p>
      <w:pPr>
        <w:adjustRightInd w:val="0"/>
        <w:snapToGrid w:val="0"/>
        <w:spacing w:line="560" w:lineRule="exact"/>
        <w:ind w:firstLine="640" w:firstLineChars="200"/>
        <w:rPr>
          <w:rFonts w:hint="eastAsia" w:ascii="仿宋_GB2312" w:hAnsi="仿宋_GB2312" w:eastAsia="仿宋_GB2312" w:cs="仿宋_GB2312"/>
          <w:color w:val="000000"/>
          <w:sz w:val="32"/>
          <w:szCs w:val="32"/>
          <w:highlight w:val="none"/>
          <w:shd w:val="pct10" w:color="auto" w:fill="FFFFFF"/>
        </w:rPr>
      </w:pPr>
      <w:r>
        <w:rPr>
          <w:rFonts w:hint="eastAsia" w:ascii="仿宋_GB2312" w:hAnsi="仿宋_GB2312" w:eastAsia="仿宋_GB2312" w:cs="仿宋_GB2312"/>
          <w:color w:val="000000"/>
          <w:sz w:val="32"/>
          <w:szCs w:val="32"/>
          <w:highlight w:val="none"/>
        </w:rPr>
        <w:t>公用经费1</w:t>
      </w:r>
      <w:r>
        <w:rPr>
          <w:rFonts w:hint="eastAsia" w:ascii="仿宋_GB2312" w:hAnsi="仿宋_GB2312" w:eastAsia="仿宋_GB2312" w:cs="仿宋_GB2312"/>
          <w:color w:val="000000"/>
          <w:sz w:val="32"/>
          <w:szCs w:val="32"/>
          <w:highlight w:val="none"/>
          <w:lang w:eastAsia="zh-CN"/>
        </w:rPr>
        <w:t>0</w:t>
      </w:r>
      <w:r>
        <w:rPr>
          <w:rFonts w:hint="eastAsia" w:ascii="仿宋_GB2312" w:hAnsi="仿宋_GB2312" w:eastAsia="仿宋_GB2312" w:cs="仿宋_GB2312"/>
          <w:color w:val="000000"/>
          <w:sz w:val="32"/>
          <w:szCs w:val="32"/>
          <w:highlight w:val="none"/>
        </w:rPr>
        <w:t>.71万元，主要包括：办公费、邮电费、差旅费、维修（护）费、会议费、培训费、公务接待费、劳务费、工会经费、福利费、其他商品和服务支出、其他对个人和家庭的补助。</w:t>
      </w:r>
    </w:p>
    <w:p>
      <w:p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（七）关于金华市排污权储备交易中心2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21年政府性基金预算支出情况说明</w:t>
      </w:r>
    </w:p>
    <w:p>
      <w:pPr>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金华市排污权储备交易中心2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21年没有使用政府性基金预算拨款安排的支出。</w:t>
      </w:r>
    </w:p>
    <w:p>
      <w:pPr>
        <w:numPr>
          <w:ilvl w:val="0"/>
          <w:numId w:val="2"/>
        </w:numPr>
        <w:adjustRightInd w:val="0"/>
        <w:snapToGrid w:val="0"/>
        <w:spacing w:line="560" w:lineRule="exact"/>
        <w:ind w:firstLine="640" w:firstLineChars="20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关于金华市排污权储备交易中心2</w:t>
      </w:r>
      <w:r>
        <w:rPr>
          <w:rFonts w:hint="eastAsia" w:ascii="楷体" w:hAnsi="楷体" w:eastAsia="楷体" w:cs="楷体"/>
          <w:b w:val="0"/>
          <w:bCs w:val="0"/>
          <w:color w:val="000000"/>
          <w:sz w:val="32"/>
          <w:szCs w:val="32"/>
          <w:lang w:eastAsia="zh-CN"/>
        </w:rPr>
        <w:t>0</w:t>
      </w:r>
      <w:r>
        <w:rPr>
          <w:rFonts w:hint="eastAsia" w:ascii="楷体" w:hAnsi="楷体" w:eastAsia="楷体" w:cs="楷体"/>
          <w:b w:val="0"/>
          <w:bCs w:val="0"/>
          <w:color w:val="000000"/>
          <w:sz w:val="32"/>
          <w:szCs w:val="32"/>
        </w:rPr>
        <w:t>21年一般公共预算“三公”经费预算情况说明</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21年单位预算未安排因公出国（境）费用，比上年执行数下降</w:t>
      </w:r>
      <w:r>
        <w:rPr>
          <w:rFonts w:hint="eastAsia" w:ascii="仿宋_GB2312" w:hAnsi="仿宋_GB2312" w:eastAsia="仿宋_GB2312" w:cs="仿宋_GB2312"/>
          <w:color w:val="000000"/>
          <w:sz w:val="32"/>
          <w:szCs w:val="32"/>
          <w:lang w:eastAsia="zh-CN"/>
        </w:rPr>
        <w:t>100.0%</w:t>
      </w:r>
      <w:r>
        <w:rPr>
          <w:rFonts w:hint="eastAsia" w:ascii="仿宋_GB2312" w:hAnsi="仿宋_GB2312" w:eastAsia="仿宋_GB2312" w:cs="仿宋_GB2312"/>
          <w:color w:val="000000"/>
          <w:sz w:val="32"/>
          <w:szCs w:val="32"/>
        </w:rPr>
        <w:t>，年中将根据市外事侨务办安排的因公出国计划和实际工作需要追加指标</w:t>
      </w:r>
      <w:r>
        <w:rPr>
          <w:rFonts w:hint="eastAsia" w:ascii="仿宋_GB2312" w:hAnsi="仿宋_GB2312" w:eastAsia="仿宋_GB2312" w:cs="仿宋_GB2312"/>
          <w:color w:val="000000"/>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金华市排污权储备交易中心2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21年“三公”经费预算数为</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.15万元，比2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年执行数增加</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.15万元，增长</w:t>
      </w:r>
      <w:r>
        <w:rPr>
          <w:rFonts w:hint="eastAsia" w:ascii="仿宋_GB2312" w:hAnsi="仿宋_GB2312" w:eastAsia="仿宋_GB2312" w:cs="仿宋_GB2312"/>
          <w:color w:val="000000"/>
          <w:sz w:val="32"/>
          <w:szCs w:val="32"/>
          <w:lang w:eastAsia="zh-CN"/>
        </w:rPr>
        <w:t>100.0%。</w:t>
      </w:r>
      <w:r>
        <w:rPr>
          <w:rFonts w:hint="eastAsia" w:ascii="仿宋_GB2312" w:hAnsi="仿宋_GB2312" w:eastAsia="仿宋_GB2312" w:cs="仿宋_GB2312"/>
          <w:color w:val="000000"/>
          <w:sz w:val="32"/>
          <w:szCs w:val="32"/>
        </w:rPr>
        <w:t>具体如下</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公务接待费：2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21年安排公务接待费预算</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.15万元，比上年执行数增长1</w:t>
      </w:r>
      <w:r>
        <w:rPr>
          <w:rFonts w:hint="eastAsia" w:ascii="仿宋_GB2312" w:hAnsi="仿宋_GB2312" w:eastAsia="仿宋_GB2312" w:cs="仿宋_GB2312"/>
          <w:color w:val="000000"/>
          <w:sz w:val="32"/>
          <w:szCs w:val="32"/>
          <w:lang w:eastAsia="zh-CN"/>
        </w:rPr>
        <w:t>00</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增加的主要原因是2</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21年业务增加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sz w:val="32"/>
          <w:szCs w:val="32"/>
        </w:rPr>
        <w:t>接待省厅或其他地市业务交流接待支出</w:t>
      </w:r>
      <w:r>
        <w:rPr>
          <w:rFonts w:hint="eastAsia" w:ascii="仿宋_GB2312" w:hAnsi="仿宋_GB2312" w:eastAsia="仿宋_GB2312" w:cs="仿宋_GB2312"/>
          <w:sz w:val="32"/>
          <w:szCs w:val="32"/>
          <w:lang w:eastAsia="zh-CN"/>
        </w:rPr>
        <w:t>。</w:t>
      </w:r>
    </w:p>
    <w:p>
      <w:pPr>
        <w:adjustRightInd w:val="0"/>
        <w:snapToGrid w:val="0"/>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公务用车购置及运行维护费</w:t>
      </w:r>
      <w:r>
        <w:rPr>
          <w:rFonts w:hint="eastAsia" w:ascii="仿宋_GB2312" w:hAnsi="仿宋_GB2312" w:eastAsia="仿宋_GB2312" w:cs="仿宋_GB2312"/>
          <w:color w:val="000000"/>
          <w:sz w:val="32"/>
          <w:szCs w:val="32"/>
        </w:rPr>
        <w:t>：2021年安排公务用车购置及运行维护费预算0</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000000"/>
          <w:sz w:val="32"/>
          <w:szCs w:val="32"/>
        </w:rPr>
        <w:t>，比上年执行数增长0</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%。其中，公务用车购置支出0万元（含购置税等附加费用），主要用于经批准购置的0辆公务用车；公务用车运行维护费支出0万元，无增减变动的主要原因是2021年单位预算未安排。</w:t>
      </w:r>
    </w:p>
    <w:p>
      <w:pPr>
        <w:pStyle w:val="12"/>
        <w:numPr>
          <w:ilvl w:val="0"/>
          <w:numId w:val="3"/>
        </w:numPr>
        <w:adjustRightInd w:val="0"/>
        <w:snapToGrid w:val="0"/>
        <w:spacing w:line="560" w:lineRule="exact"/>
        <w:ind w:left="1710" w:leftChars="0" w:firstLineChars="0"/>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其他重要事项的情况说明</w:t>
      </w:r>
    </w:p>
    <w:p>
      <w:pPr>
        <w:pStyle w:val="10"/>
        <w:widowControl w:val="0"/>
        <w:adjustRightInd w:val="0"/>
        <w:snapToGrid w:val="0"/>
        <w:spacing w:line="560" w:lineRule="exact"/>
        <w:ind w:left="63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1.政府采购情况</w:t>
      </w:r>
    </w:p>
    <w:p>
      <w:pPr>
        <w:pStyle w:val="10"/>
        <w:widowControl w:val="0"/>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21年预算单位采购预算总额</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pStyle w:val="10"/>
        <w:widowControl w:val="0"/>
        <w:adjustRightInd w:val="0"/>
        <w:snapToGrid w:val="0"/>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2.国有资产占有使用情况</w:t>
      </w:r>
    </w:p>
    <w:p>
      <w:pPr>
        <w:adjustRightInd w:val="0"/>
        <w:snapToGrid w:val="0"/>
        <w:spacing w:line="560" w:lineRule="exact"/>
        <w:ind w:firstLine="664"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pacing w:val="6"/>
          <w:sz w:val="32"/>
          <w:szCs w:val="32"/>
        </w:rPr>
        <w:t>截至2</w:t>
      </w:r>
      <w:r>
        <w:rPr>
          <w:rFonts w:hint="eastAsia" w:ascii="仿宋_GB2312" w:hAnsi="仿宋_GB2312" w:eastAsia="仿宋_GB2312" w:cs="仿宋_GB2312"/>
          <w:spacing w:val="6"/>
          <w:sz w:val="32"/>
          <w:szCs w:val="32"/>
          <w:lang w:eastAsia="zh-CN"/>
        </w:rPr>
        <w:t>0</w:t>
      </w:r>
      <w:r>
        <w:rPr>
          <w:rFonts w:hint="eastAsia" w:ascii="仿宋_GB2312" w:hAnsi="仿宋_GB2312" w:eastAsia="仿宋_GB2312" w:cs="仿宋_GB2312"/>
          <w:spacing w:val="6"/>
          <w:sz w:val="32"/>
          <w:szCs w:val="32"/>
        </w:rPr>
        <w:t>2</w:t>
      </w:r>
      <w:r>
        <w:rPr>
          <w:rFonts w:hint="eastAsia" w:ascii="仿宋_GB2312" w:hAnsi="仿宋_GB2312" w:eastAsia="仿宋_GB2312" w:cs="仿宋_GB2312"/>
          <w:spacing w:val="6"/>
          <w:sz w:val="32"/>
          <w:szCs w:val="32"/>
          <w:lang w:eastAsia="zh-CN"/>
        </w:rPr>
        <w:t>0</w:t>
      </w:r>
      <w:r>
        <w:rPr>
          <w:rFonts w:hint="eastAsia" w:ascii="仿宋_GB2312" w:hAnsi="仿宋_GB2312" w:eastAsia="仿宋_GB2312" w:cs="仿宋_GB2312"/>
          <w:spacing w:val="6"/>
          <w:sz w:val="32"/>
          <w:szCs w:val="32"/>
        </w:rPr>
        <w:t>年12月31日，金华市排污权储备交易中心所属预算单位共有车辆</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sz w:val="32"/>
          <w:szCs w:val="32"/>
        </w:rPr>
        <w:t>单位价值5</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万元以上通用设备</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台（套），单位价值1</w:t>
      </w:r>
      <w:r>
        <w:rPr>
          <w:rFonts w:hint="eastAsia" w:ascii="仿宋_GB2312" w:hAnsi="仿宋_GB2312" w:eastAsia="仿宋_GB2312" w:cs="仿宋_GB2312"/>
          <w:color w:val="000000"/>
          <w:sz w:val="32"/>
          <w:szCs w:val="32"/>
          <w:lang w:eastAsia="zh-CN"/>
        </w:rPr>
        <w:t>00</w:t>
      </w:r>
      <w:r>
        <w:rPr>
          <w:rFonts w:hint="eastAsia" w:ascii="仿宋_GB2312" w:hAnsi="仿宋_GB2312" w:eastAsia="仿宋_GB2312" w:cs="仿宋_GB2312"/>
          <w:color w:val="000000"/>
          <w:sz w:val="32"/>
          <w:szCs w:val="32"/>
        </w:rPr>
        <w:t>万元以上专用设备</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 xml:space="preserve">台（套）。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21年部门预算未安排购置车辆、单位价值5</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万元以上通用设备及单位价值1</w:t>
      </w:r>
      <w:r>
        <w:rPr>
          <w:rFonts w:hint="eastAsia" w:ascii="仿宋_GB2312" w:hAnsi="仿宋_GB2312" w:eastAsia="仿宋_GB2312" w:cs="仿宋_GB2312"/>
          <w:sz w:val="32"/>
          <w:szCs w:val="32"/>
          <w:lang w:eastAsia="zh-CN"/>
        </w:rPr>
        <w:t>00</w:t>
      </w:r>
      <w:r>
        <w:rPr>
          <w:rFonts w:hint="eastAsia" w:ascii="仿宋_GB2312" w:hAnsi="仿宋_GB2312" w:eastAsia="仿宋_GB2312" w:cs="仿宋_GB2312"/>
          <w:sz w:val="32"/>
          <w:szCs w:val="32"/>
        </w:rPr>
        <w:t>万元以上专用设备。</w:t>
      </w:r>
    </w:p>
    <w:p>
      <w:pPr>
        <w:pStyle w:val="10"/>
        <w:widowControl w:val="0"/>
        <w:numPr>
          <w:ilvl w:val="0"/>
          <w:numId w:val="4"/>
        </w:numPr>
        <w:spacing w:beforeLines="0" w:afterLines="0"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绩效目标设置情况</w:t>
      </w:r>
    </w:p>
    <w:p>
      <w:pPr>
        <w:pStyle w:val="10"/>
        <w:widowControl w:val="0"/>
        <w:adjustRightInd w:val="0"/>
        <w:snapToGrid w:val="0"/>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sz w:val="32"/>
          <w:szCs w:val="32"/>
        </w:rPr>
        <w:t>⑴总体情况</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21年</w:t>
      </w:r>
      <w:r>
        <w:rPr>
          <w:rFonts w:hint="eastAsia" w:ascii="仿宋_GB2312" w:hAnsi="仿宋_GB2312" w:eastAsia="仿宋_GB2312" w:cs="仿宋_GB2312"/>
          <w:color w:val="000000"/>
          <w:sz w:val="32"/>
          <w:szCs w:val="32"/>
        </w:rPr>
        <w:t>金华市排污权储备交易中心未进行以部门为主体的绩效目标管理，无相关绩效目标。</w:t>
      </w:r>
    </w:p>
    <w:p>
      <w:pPr>
        <w:pStyle w:val="10"/>
        <w:widowControl w:val="0"/>
        <w:adjustRightInd w:val="0"/>
        <w:snapToGrid w:val="0"/>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⑵重点项目情况。2</w:t>
      </w:r>
      <w:r>
        <w:rPr>
          <w:rFonts w:hint="eastAsia" w:ascii="仿宋_GB2312" w:hAnsi="仿宋_GB2312" w:eastAsia="仿宋_GB2312" w:cs="仿宋_GB2312"/>
          <w:color w:val="000000"/>
          <w:sz w:val="32"/>
          <w:szCs w:val="32"/>
          <w:lang w:eastAsia="zh-CN"/>
        </w:rPr>
        <w:t>0</w:t>
      </w:r>
      <w:r>
        <w:rPr>
          <w:rFonts w:hint="eastAsia" w:ascii="仿宋_GB2312" w:hAnsi="仿宋_GB2312" w:eastAsia="仿宋_GB2312" w:cs="仿宋_GB2312"/>
          <w:color w:val="000000"/>
          <w:sz w:val="32"/>
          <w:szCs w:val="32"/>
        </w:rPr>
        <w:t>21年金华市排污权储备交易中心</w:t>
      </w:r>
      <w:r>
        <w:rPr>
          <w:rFonts w:hint="eastAsia" w:ascii="仿宋_GB2312" w:hAnsi="仿宋_GB2312" w:eastAsia="仿宋_GB2312" w:cs="仿宋_GB2312"/>
          <w:bCs/>
          <w:sz w:val="32"/>
          <w:szCs w:val="32"/>
          <w:highlight w:val="none"/>
          <w:lang w:eastAsia="zh-CN"/>
        </w:rPr>
        <w:t>本年度没有财政拨款重点项目支出预算安排，无重点项目。</w:t>
      </w:r>
      <w:r>
        <w:rPr>
          <w:rFonts w:hint="eastAsia" w:ascii="仿宋_GB2312" w:hAnsi="仿宋_GB2312" w:eastAsia="仿宋_GB2312" w:cs="仿宋_GB2312"/>
          <w:color w:val="000000"/>
          <w:sz w:val="32"/>
          <w:szCs w:val="32"/>
        </w:rPr>
        <w:t>排污权回购资金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资源要素综合管理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排污权储备管理</w:t>
      </w:r>
      <w:r>
        <w:rPr>
          <w:rFonts w:hint="eastAsia" w:ascii="仿宋_GB2312" w:hAnsi="仿宋_GB2312" w:eastAsia="仿宋_GB2312" w:cs="仿宋_GB2312"/>
          <w:color w:val="000000"/>
          <w:sz w:val="32"/>
          <w:szCs w:val="32"/>
          <w:lang w:eastAsia="zh-CN"/>
        </w:rPr>
        <w:t>为非重点项目。</w:t>
      </w:r>
    </w:p>
    <w:p>
      <w:pPr>
        <w:pStyle w:val="10"/>
        <w:widowControl w:val="0"/>
        <w:numPr>
          <w:ilvl w:val="0"/>
          <w:numId w:val="0"/>
        </w:numPr>
        <w:adjustRightInd w:val="0"/>
        <w:snapToGrid w:val="0"/>
        <w:spacing w:line="560" w:lineRule="exact"/>
        <w:rPr>
          <w:rStyle w:val="7"/>
          <w:rFonts w:hint="eastAsia" w:ascii="黑体" w:hAnsi="黑体" w:eastAsia="黑体" w:cs="黑体"/>
          <w:b w:val="0"/>
        </w:rPr>
      </w:pPr>
      <w:r>
        <w:rPr>
          <w:rFonts w:hint="eastAsia" w:ascii="仿宋_GB2312" w:hAnsi="仿宋_GB2312" w:eastAsia="仿宋_GB2312" w:cs="仿宋_GB2312"/>
          <w:b/>
          <w:bCs/>
          <w:sz w:val="32"/>
          <w:szCs w:val="32"/>
        </w:rPr>
        <w:t xml:space="preserve">     </w:t>
      </w:r>
      <w:r>
        <w:rPr>
          <w:rStyle w:val="7"/>
          <w:rFonts w:hint="eastAsia" w:ascii="黑体" w:hAnsi="黑体" w:eastAsia="黑体" w:cs="黑体"/>
          <w:b w:val="0"/>
        </w:rPr>
        <w:t>三、名词解释</w:t>
      </w:r>
    </w:p>
    <w:p>
      <w:pPr>
        <w:adjustRightInd w:val="0"/>
        <w:snapToGrid w:val="0"/>
        <w:spacing w:line="560" w:lineRule="exact"/>
        <w:ind w:firstLine="640" w:firstLineChars="200"/>
        <w:rPr>
          <w:rFonts w:hint="eastAsia" w:ascii="仿宋_GB2312" w:hAnsi="仿宋_GB2312" w:eastAsia="仿宋_GB2312" w:cs="仿宋_GB2312"/>
          <w:bCs/>
          <w:color w:val="000000"/>
          <w:sz w:val="32"/>
          <w:szCs w:val="32"/>
        </w:rPr>
      </w:pPr>
      <w:r>
        <w:rPr>
          <w:rFonts w:hint="eastAsia" w:ascii="黑体" w:hAnsi="黑体" w:eastAsia="黑体" w:cs="黑体"/>
          <w:b w:val="0"/>
          <w:bCs w:val="0"/>
          <w:color w:val="000000"/>
          <w:sz w:val="32"/>
          <w:szCs w:val="32"/>
        </w:rPr>
        <w:t>1.财政拨款收入</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本级财政部门当年拨付的财政预算资金，包括一般公共预算财政拨款和政府性基金预算财政拨款。</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2.财政专户管理的资金</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bCs/>
          <w:color w:val="000000"/>
          <w:sz w:val="32"/>
          <w:szCs w:val="32"/>
        </w:rPr>
        <w:t>财政部门在银行开设的用于核算和反映政府非税收入以及其他需要</w:t>
      </w:r>
      <w:r>
        <w:rPr>
          <w:rFonts w:hint="eastAsia" w:ascii="仿宋_GB2312" w:hAnsi="仿宋_GB2312" w:eastAsia="仿宋_GB2312" w:cs="仿宋_GB2312"/>
          <w:sz w:val="32"/>
          <w:szCs w:val="32"/>
        </w:rPr>
        <w:t>专户管理的资金。</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3.其他收入</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预算单位在“一般公共预算”、“政府性基金”、“财政专户管理的资金”等之外取得的各项收入（含上级补助收入）。</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4.单位结余</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Cs/>
          <w:color w:val="000000"/>
          <w:sz w:val="32"/>
          <w:szCs w:val="32"/>
        </w:rPr>
        <w:t>指事业单位在预计用当年的“财政拨款收入”、“财政专户管理资金”、“其他收入”、“上年结转”等不足以安排当年支出的情况下，使</w:t>
      </w:r>
      <w:r>
        <w:rPr>
          <w:rFonts w:hint="eastAsia" w:ascii="仿宋_GB2312" w:hAnsi="仿宋_GB2312" w:eastAsia="仿宋_GB2312" w:cs="仿宋_GB2312"/>
          <w:sz w:val="32"/>
          <w:szCs w:val="32"/>
        </w:rPr>
        <w:t>用以前年度积累的一般结余、事业基金、专用基金和专项结余等弥补本年收支缺口的资金。</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5.上年结转</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指以前年度尚未完成、结转到本年仍按原规定用途继续使用的资金。</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6.基本支出：</w:t>
      </w:r>
      <w:r>
        <w:rPr>
          <w:rFonts w:hint="eastAsia" w:ascii="仿宋_GB2312" w:hAnsi="仿宋_GB2312" w:eastAsia="仿宋_GB2312" w:cs="仿宋_GB2312"/>
          <w:sz w:val="32"/>
          <w:szCs w:val="32"/>
        </w:rPr>
        <w:t>是预算单位为保障其正常运转，完成日常工作任务所发生的支出，包括人员支出和日常公用支出。</w:t>
      </w:r>
    </w:p>
    <w:p>
      <w:pPr>
        <w:adjustRightInd w:val="0"/>
        <w:snapToGrid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color w:val="000000"/>
          <w:sz w:val="32"/>
          <w:szCs w:val="32"/>
        </w:rPr>
        <w:t>7.项目支出</w:t>
      </w: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是预算单位为完成其特定的事业发展目标所发生的支出。</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8.“三公”经费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napToGrid w:val="0"/>
        <w:spacing w:beforeLines="0" w:afterLines="0" w:line="560" w:lineRule="exact"/>
        <w:ind w:firstLine="640" w:firstLineChars="200"/>
        <w:rPr>
          <w:rFonts w:hint="eastAsia" w:ascii="仿宋_GB2312" w:hAnsi="仿宋_GB2312" w:eastAsia="仿宋_GB2312" w:cs="仿宋_GB2312"/>
          <w:color w:val="000000" w:themeColor="text1"/>
          <w:sz w:val="32"/>
          <w:szCs w:val="32"/>
          <w:highlight w:val="none"/>
        </w:rPr>
      </w:pPr>
      <w:r>
        <w:rPr>
          <w:rFonts w:hint="eastAsia" w:ascii="黑体" w:hAnsi="黑体" w:eastAsia="黑体" w:cs="黑体"/>
          <w:b w:val="0"/>
          <w:bCs w:val="0"/>
          <w:color w:val="000000" w:themeColor="text1"/>
          <w:sz w:val="32"/>
          <w:szCs w:val="32"/>
          <w:highlight w:val="none"/>
        </w:rPr>
        <w:t>9.机关运行经费</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000000" w:themeColor="text1"/>
          <w:sz w:val="32"/>
          <w:szCs w:val="32"/>
          <w:highlight w:val="none"/>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10</w:t>
      </w:r>
      <w:r>
        <w:rPr>
          <w:rFonts w:hint="eastAsia" w:ascii="黑体" w:hAnsi="黑体" w:eastAsia="黑体" w:cs="黑体"/>
          <w:b w:val="0"/>
          <w:bCs w:val="0"/>
          <w:sz w:val="32"/>
          <w:szCs w:val="32"/>
        </w:rPr>
        <w:t>.教育支出（类）进修及培训（款）培训支出（项）：</w:t>
      </w:r>
      <w:r>
        <w:rPr>
          <w:rFonts w:hint="eastAsia" w:ascii="仿宋_GB2312" w:hAnsi="仿宋_GB2312" w:eastAsia="仿宋_GB2312"/>
          <w:sz w:val="32"/>
          <w:szCs w:val="32"/>
        </w:rPr>
        <w:t>指反映各单位安排的用于培训的支出</w:t>
      </w:r>
      <w:r>
        <w:rPr>
          <w:rFonts w:ascii="Times New Roman" w:hAnsi="Times New Roman" w:eastAsia="仿宋_GB2312" w:cs="Times New Roman"/>
          <w:bCs/>
          <w:color w:val="000000"/>
          <w:sz w:val="32"/>
          <w:szCs w:val="32"/>
        </w:rPr>
        <w:t>；</w:t>
      </w:r>
    </w:p>
    <w:p>
      <w:pPr>
        <w:adjustRightInd w:val="0"/>
        <w:snapToGrid w:val="0"/>
        <w:spacing w:line="560" w:lineRule="exact"/>
        <w:ind w:firstLine="640" w:firstLineChars="200"/>
        <w:rPr>
          <w:rFonts w:ascii="仿宋_GB2312" w:hAnsi="仿宋_GB2312" w:eastAsia="仿宋_GB2312"/>
          <w:sz w:val="32"/>
          <w:szCs w:val="32"/>
        </w:rPr>
      </w:pPr>
      <w:r>
        <w:rPr>
          <w:rFonts w:hint="eastAsia" w:ascii="黑体" w:hAnsi="黑体" w:eastAsia="黑体" w:cs="黑体"/>
          <w:b w:val="0"/>
          <w:bCs w:val="0"/>
          <w:sz w:val="32"/>
          <w:szCs w:val="32"/>
          <w:lang w:val="en-US" w:eastAsia="zh-CN"/>
        </w:rPr>
        <w:t>11</w:t>
      </w:r>
      <w:r>
        <w:rPr>
          <w:rFonts w:hint="eastAsia" w:ascii="黑体" w:hAnsi="黑体" w:eastAsia="黑体" w:cs="黑体"/>
          <w:b w:val="0"/>
          <w:bCs w:val="0"/>
          <w:sz w:val="32"/>
          <w:szCs w:val="32"/>
        </w:rPr>
        <w:t>.社会保障和就业支出（类）行政事业单位养老支出（款）机关事业单位基本养老保险缴费支出（项）：</w:t>
      </w:r>
      <w:r>
        <w:rPr>
          <w:rFonts w:hint="eastAsia" w:ascii="仿宋_GB2312" w:hAnsi="仿宋_GB2312" w:eastAsia="仿宋_GB2312"/>
          <w:sz w:val="32"/>
          <w:szCs w:val="32"/>
        </w:rPr>
        <w:t>指反映机关事业单位实施养老保险制度由单位缴纳的基本养老保险费支出</w:t>
      </w:r>
      <w:r>
        <w:rPr>
          <w:rFonts w:ascii="Times New Roman" w:hAnsi="Times New Roman" w:eastAsia="仿宋_GB2312" w:cs="Times New Roman"/>
          <w:bCs/>
          <w:color w:val="000000"/>
          <w:sz w:val="32"/>
          <w:szCs w:val="32"/>
        </w:rPr>
        <w:t>；</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12</w:t>
      </w:r>
      <w:r>
        <w:rPr>
          <w:rFonts w:hint="eastAsia" w:ascii="黑体" w:hAnsi="黑体" w:eastAsia="黑体" w:cs="黑体"/>
          <w:b w:val="0"/>
          <w:bCs w:val="0"/>
          <w:sz w:val="32"/>
          <w:szCs w:val="32"/>
        </w:rPr>
        <w:t>.社会保障和就业支出（类）行政事业单位养老支出（款）机关事业单位职业年金缴费支出（项）</w:t>
      </w:r>
      <w:r>
        <w:rPr>
          <w:rFonts w:hint="eastAsia" w:ascii="Times New Roman" w:hAnsi="Times New Roman" w:eastAsia="仿宋_GB2312" w:cs="Times New Roman"/>
          <w:b/>
          <w:bCs/>
          <w:sz w:val="32"/>
          <w:szCs w:val="32"/>
        </w:rPr>
        <w:t>：</w:t>
      </w:r>
      <w:r>
        <w:rPr>
          <w:rFonts w:hint="eastAsia" w:ascii="仿宋_GB2312" w:hAnsi="仿宋_GB2312" w:eastAsia="仿宋_GB2312"/>
          <w:sz w:val="32"/>
          <w:szCs w:val="32"/>
        </w:rPr>
        <w:t>指反映机关事业单位实施养老保险制度由单位实际缴纳的职业年金支出</w:t>
      </w:r>
      <w:r>
        <w:rPr>
          <w:rFonts w:ascii="Times New Roman" w:hAnsi="Times New Roman" w:eastAsia="仿宋_GB2312" w:cs="Times New Roman"/>
          <w:bCs/>
          <w:color w:val="000000"/>
          <w:sz w:val="32"/>
          <w:szCs w:val="32"/>
        </w:rPr>
        <w:t>；</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13</w:t>
      </w:r>
      <w:r>
        <w:rPr>
          <w:rFonts w:hint="eastAsia" w:ascii="黑体" w:hAnsi="黑体" w:eastAsia="黑体" w:cs="黑体"/>
          <w:b w:val="0"/>
          <w:bCs w:val="0"/>
          <w:sz w:val="32"/>
          <w:szCs w:val="32"/>
        </w:rPr>
        <w:t>.卫生健康支出（类）行政事业单位医疗（款）事业单位医疗（项）</w:t>
      </w:r>
      <w:r>
        <w:rPr>
          <w:rFonts w:hint="eastAsia" w:ascii="Times New Roman" w:hAnsi="Times New Roman" w:eastAsia="仿宋_GB2312" w:cs="Times New Roman"/>
          <w:b/>
          <w:bCs/>
          <w:sz w:val="32"/>
          <w:szCs w:val="32"/>
        </w:rPr>
        <w:t>：</w:t>
      </w:r>
      <w:r>
        <w:rPr>
          <w:rFonts w:hint="eastAsia" w:ascii="仿宋_GB2312" w:hAnsi="仿宋_GB2312" w:eastAsia="仿宋_GB2312"/>
          <w:sz w:val="32"/>
          <w:szCs w:val="32"/>
        </w:rPr>
        <w:t>指反映财政部门安排的事业单位基本医疗保险缴费</w:t>
      </w:r>
      <w:r>
        <w:rPr>
          <w:rFonts w:hint="eastAsia" w:ascii="Times New Roman" w:hAnsi="Times New Roman" w:eastAsia="仿宋_GB2312" w:cs="Times New Roman"/>
          <w:bCs/>
          <w:color w:val="000000"/>
          <w:sz w:val="32"/>
          <w:szCs w:val="32"/>
        </w:rPr>
        <w:t>；</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14</w:t>
      </w:r>
      <w:r>
        <w:rPr>
          <w:rFonts w:hint="eastAsia" w:ascii="黑体" w:hAnsi="黑体" w:eastAsia="黑体" w:cs="黑体"/>
          <w:b w:val="0"/>
          <w:bCs w:val="0"/>
          <w:sz w:val="32"/>
          <w:szCs w:val="32"/>
        </w:rPr>
        <w:t>.节能环保支出（类）污染减排（款）生态环境监测与信息（项）</w:t>
      </w:r>
      <w:r>
        <w:rPr>
          <w:rFonts w:hint="eastAsia" w:ascii="Times New Roman" w:hAnsi="Times New Roman" w:eastAsia="仿宋_GB2312" w:cs="Times New Roman"/>
          <w:b/>
          <w:bCs/>
          <w:sz w:val="32"/>
          <w:szCs w:val="32"/>
        </w:rPr>
        <w:t>：</w:t>
      </w:r>
      <w:r>
        <w:rPr>
          <w:rFonts w:hint="eastAsia" w:ascii="仿宋_GB2312" w:hAnsi="仿宋_GB2312" w:eastAsia="仿宋_GB2312"/>
          <w:sz w:val="32"/>
          <w:szCs w:val="32"/>
        </w:rPr>
        <w:t>指开展排污权有偿使用和交易工作的基本支出</w:t>
      </w:r>
      <w:r>
        <w:rPr>
          <w:rFonts w:hint="eastAsia" w:ascii="Times New Roman" w:hAnsi="Times New Roman" w:eastAsia="仿宋_GB2312" w:cs="Times New Roman"/>
          <w:bCs/>
          <w:color w:val="000000"/>
          <w:sz w:val="32"/>
          <w:szCs w:val="32"/>
        </w:rPr>
        <w:t>；</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15</w:t>
      </w:r>
      <w:r>
        <w:rPr>
          <w:rFonts w:hint="eastAsia" w:ascii="黑体" w:hAnsi="黑体" w:eastAsia="黑体" w:cs="黑体"/>
          <w:b w:val="0"/>
          <w:bCs w:val="0"/>
          <w:sz w:val="32"/>
          <w:szCs w:val="32"/>
        </w:rPr>
        <w:t>.节能环保支出（类）污染减排（款）其他污染减排支出（项）</w:t>
      </w:r>
      <w:r>
        <w:rPr>
          <w:rFonts w:hint="eastAsia" w:ascii="Times New Roman" w:hAnsi="Times New Roman" w:eastAsia="仿宋_GB2312" w:cs="Times New Roman"/>
          <w:b/>
          <w:bCs/>
          <w:sz w:val="32"/>
          <w:szCs w:val="32"/>
        </w:rPr>
        <w:t>：</w:t>
      </w:r>
      <w:r>
        <w:rPr>
          <w:rFonts w:hint="eastAsia" w:ascii="仿宋_GB2312" w:hAnsi="仿宋_GB2312" w:eastAsia="仿宋_GB2312"/>
          <w:sz w:val="32"/>
          <w:szCs w:val="32"/>
        </w:rPr>
        <w:t>指</w:t>
      </w:r>
      <w:r>
        <w:rPr>
          <w:rFonts w:hint="eastAsia" w:ascii="Times New Roman" w:hAnsi="Times New Roman" w:eastAsia="仿宋_GB2312" w:cs="Times New Roman"/>
          <w:bCs/>
          <w:color w:val="000000"/>
          <w:sz w:val="32"/>
          <w:szCs w:val="32"/>
        </w:rPr>
        <w:t>排污权有偿使用和交易工作相关业务专项支出；</w:t>
      </w:r>
    </w:p>
    <w:p>
      <w:pPr>
        <w:adjustRightInd w:val="0"/>
        <w:snapToGrid w:val="0"/>
        <w:spacing w:line="560" w:lineRule="exact"/>
        <w:ind w:firstLine="640" w:firstLineChars="200"/>
        <w:rPr>
          <w:rFonts w:ascii="Times New Roman" w:hAnsi="Times New Roman" w:eastAsia="仿宋_GB2312" w:cs="Times New Roman"/>
          <w:bCs/>
          <w:color w:val="000000"/>
          <w:sz w:val="32"/>
          <w:szCs w:val="32"/>
        </w:rPr>
      </w:pPr>
      <w:r>
        <w:rPr>
          <w:rFonts w:hint="eastAsia" w:ascii="黑体" w:hAnsi="黑体" w:eastAsia="黑体" w:cs="黑体"/>
          <w:b w:val="0"/>
          <w:bCs w:val="0"/>
          <w:sz w:val="32"/>
          <w:szCs w:val="32"/>
          <w:lang w:val="en-US" w:eastAsia="zh-CN"/>
        </w:rPr>
        <w:t>16</w:t>
      </w:r>
      <w:r>
        <w:rPr>
          <w:rFonts w:hint="eastAsia" w:ascii="黑体" w:hAnsi="黑体" w:eastAsia="黑体" w:cs="黑体"/>
          <w:b w:val="0"/>
          <w:bCs w:val="0"/>
          <w:sz w:val="32"/>
          <w:szCs w:val="32"/>
        </w:rPr>
        <w:t>.住房保障支出（类）住房改革支出（款）住房公积金（项）</w:t>
      </w:r>
      <w:r>
        <w:rPr>
          <w:rFonts w:hint="eastAsia" w:ascii="Times New Roman" w:hAnsi="Times New Roman" w:eastAsia="仿宋_GB2312" w:cs="Times New Roman"/>
          <w:b/>
          <w:bCs/>
          <w:sz w:val="32"/>
          <w:szCs w:val="32"/>
        </w:rPr>
        <w:t>：</w:t>
      </w:r>
      <w:r>
        <w:rPr>
          <w:rFonts w:hint="eastAsia" w:ascii="仿宋_GB2312" w:hAnsi="仿宋_GB2312" w:eastAsia="仿宋_GB2312"/>
          <w:sz w:val="32"/>
          <w:szCs w:val="32"/>
        </w:rPr>
        <w:t>指反映规定比例为职工缴纳的住房公积金</w:t>
      </w:r>
      <w:r>
        <w:rPr>
          <w:rFonts w:ascii="Times New Roman" w:hAnsi="Times New Roman" w:eastAsia="仿宋_GB2312" w:cs="Times New Roman"/>
          <w:bCs/>
          <w:color w:val="000000"/>
          <w:sz w:val="32"/>
          <w:szCs w:val="32"/>
        </w:rPr>
        <w:t>。</w:t>
      </w:r>
    </w:p>
    <w:p>
      <w:pPr>
        <w:wordWrap w:val="0"/>
        <w:spacing w:line="530" w:lineRule="exact"/>
        <w:jc w:val="right"/>
        <w:rPr>
          <w:rFonts w:ascii="Times New Roman" w:hAnsi="Times New Roman" w:eastAsia="仿宋_GB2312" w:cs="Times New Roman"/>
          <w:sz w:val="32"/>
          <w:szCs w:val="32"/>
        </w:rPr>
      </w:pPr>
    </w:p>
    <w:p>
      <w:pPr>
        <w:wordWrap w:val="0"/>
        <w:spacing w:line="530" w:lineRule="exact"/>
        <w:ind w:right="320"/>
        <w:jc w:val="right"/>
        <w:rPr>
          <w:rFonts w:ascii="Times New Roman" w:hAnsi="Times New Roman" w:eastAsia="仿宋_GB2312" w:cs="Times New Roman"/>
          <w:sz w:val="32"/>
          <w:szCs w:val="32"/>
        </w:rPr>
      </w:pPr>
    </w:p>
    <w:p>
      <w:pPr>
        <w:spacing w:line="530" w:lineRule="exact"/>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金华市排污权储备交易中心</w:t>
      </w:r>
      <w:r>
        <w:rPr>
          <w:rFonts w:ascii="Times New Roman" w:hAnsi="Times New Roman" w:eastAsia="仿宋_GB2312" w:cs="Times New Roman"/>
          <w:sz w:val="32"/>
          <w:szCs w:val="32"/>
        </w:rPr>
        <w:t xml:space="preserve">       </w:t>
      </w:r>
    </w:p>
    <w:p>
      <w:pPr>
        <w:spacing w:line="530" w:lineRule="exact"/>
        <w:ind w:right="64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w:t>
      </w:r>
      <w:r>
        <w:rPr>
          <w:rFonts w:hint="eastAsia" w:ascii="Times New Roman" w:hAnsi="Times New Roman" w:eastAsia="仿宋_GB2312" w:cs="Times New Roman"/>
          <w:sz w:val="32"/>
          <w:szCs w:val="32"/>
          <w:lang w:eastAsia="zh-CN"/>
        </w:rPr>
        <w:t>0</w:t>
      </w:r>
      <w:r>
        <w:rPr>
          <w:rFonts w:ascii="Times New Roman" w:hAnsi="Times New Roman" w:eastAsia="仿宋_GB2312" w:cs="Times New Roman"/>
          <w:sz w:val="32"/>
          <w:szCs w:val="32"/>
        </w:rPr>
        <w:t>21年3月</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 xml:space="preserve">日       </w:t>
      </w:r>
    </w:p>
    <w:p>
      <w:pPr>
        <w:spacing w:line="530" w:lineRule="exact"/>
        <w:rPr>
          <w:rFonts w:ascii="Times New Roman" w:hAnsi="Times New Roman" w:cs="Times New Roman"/>
        </w:rPr>
      </w:pPr>
    </w:p>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heme="majorEastAsia" w:hAnsiTheme="majorEastAsia" w:eastAsiaTheme="majorEastAsia"/>
        <w:sz w:val="28"/>
        <w:szCs w:val="28"/>
      </w:rPr>
    </w:pPr>
    <w:bookmarkStart w:id="0" w:name="_GoBack"/>
    <w:bookmarkEnd w:id="0"/>
    <w:r>
      <w:rPr>
        <w:sz w:val="2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10248434"/>
                </w:sdtPr>
                <w:sdtEndPr>
                  <w:rPr>
                    <w:rFonts w:asciiTheme="majorEastAsia" w:hAnsiTheme="majorEastAsia" w:eastAsiaTheme="majorEastAsia"/>
                    <w:sz w:val="28"/>
                    <w:szCs w:val="28"/>
                  </w:rPr>
                </w:sdtEndPr>
                <w:sdtContent>
                  <w:p>
                    <w:pPr>
                      <w:pStyle w:val="3"/>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5 -</w:t>
                    </w:r>
                    <w:r>
                      <w:rPr>
                        <w:rFonts w:asciiTheme="majorEastAsia" w:hAnsiTheme="majorEastAsia" w:eastAsiaTheme="majorEastAsia"/>
                        <w:sz w:val="28"/>
                        <w:szCs w:val="28"/>
                      </w:rPr>
                      <w:fldChar w:fldCharType="end"/>
                    </w:r>
                  </w:p>
                </w:sdtContent>
              </w:sdt>
              <w:p>
                <w:pPr>
                  <w:rPr>
                    <w:rFonts w:asciiTheme="majorEastAsia" w:hAnsiTheme="majorEastAsia" w:eastAsiaTheme="majorEastAsia"/>
                    <w:sz w:val="28"/>
                    <w:szCs w:val="28"/>
                  </w:rPr>
                </w:pP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BD7FD"/>
    <w:multiLevelType w:val="singleLevel"/>
    <w:tmpl w:val="1C2BD7FD"/>
    <w:lvl w:ilvl="0" w:tentative="0">
      <w:start w:val="8"/>
      <w:numFmt w:val="chineseCounting"/>
      <w:suff w:val="nothing"/>
      <w:lvlText w:val="（%1）"/>
      <w:lvlJc w:val="left"/>
      <w:rPr>
        <w:rFonts w:hint="eastAsia"/>
      </w:rPr>
    </w:lvl>
  </w:abstractNum>
  <w:abstractNum w:abstractNumId="1">
    <w:nsid w:val="1D856A28"/>
    <w:multiLevelType w:val="singleLevel"/>
    <w:tmpl w:val="1D856A28"/>
    <w:lvl w:ilvl="0" w:tentative="0">
      <w:start w:val="3"/>
      <w:numFmt w:val="decimal"/>
      <w:lvlText w:val="%1."/>
      <w:lvlJc w:val="left"/>
      <w:pPr>
        <w:tabs>
          <w:tab w:val="left" w:pos="312"/>
        </w:tabs>
      </w:pPr>
    </w:lvl>
  </w:abstractNum>
  <w:abstractNum w:abstractNumId="2">
    <w:nsid w:val="4D493FAE"/>
    <w:multiLevelType w:val="multilevel"/>
    <w:tmpl w:val="4D493FAE"/>
    <w:lvl w:ilvl="0" w:tentative="0">
      <w:start w:val="9"/>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3">
    <w:nsid w:val="5895A99C"/>
    <w:multiLevelType w:val="singleLevel"/>
    <w:tmpl w:val="5895A99C"/>
    <w:lvl w:ilvl="0" w:tentative="0">
      <w:start w:val="5"/>
      <w:numFmt w:val="chineseCounting"/>
      <w:suff w:val="nothing"/>
      <w:lvlText w:val="（%1）"/>
      <w:lvlJc w:val="left"/>
      <w:pPr>
        <w:ind w:left="-220"/>
      </w:pPr>
      <w:rPr>
        <w:rFonts w:ascii="楷体" w:hAnsi="楷体" w:eastAsia="楷体"/>
        <w:b w:val="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0574"/>
    <w:rsid w:val="0000619C"/>
    <w:rsid w:val="0001538E"/>
    <w:rsid w:val="000A46D9"/>
    <w:rsid w:val="000E6662"/>
    <w:rsid w:val="00192C1E"/>
    <w:rsid w:val="001F3B18"/>
    <w:rsid w:val="002C275E"/>
    <w:rsid w:val="002D2A29"/>
    <w:rsid w:val="002E3963"/>
    <w:rsid w:val="002F0574"/>
    <w:rsid w:val="00304FB8"/>
    <w:rsid w:val="00386EAD"/>
    <w:rsid w:val="00407560"/>
    <w:rsid w:val="00444CA3"/>
    <w:rsid w:val="004F386D"/>
    <w:rsid w:val="00537806"/>
    <w:rsid w:val="00624D19"/>
    <w:rsid w:val="0065087B"/>
    <w:rsid w:val="006831D8"/>
    <w:rsid w:val="006A2893"/>
    <w:rsid w:val="006D1630"/>
    <w:rsid w:val="0071131D"/>
    <w:rsid w:val="00711B4C"/>
    <w:rsid w:val="007E0513"/>
    <w:rsid w:val="007F5936"/>
    <w:rsid w:val="00807743"/>
    <w:rsid w:val="00855FB1"/>
    <w:rsid w:val="00862E81"/>
    <w:rsid w:val="008637CB"/>
    <w:rsid w:val="00877B79"/>
    <w:rsid w:val="00896698"/>
    <w:rsid w:val="008B4FC0"/>
    <w:rsid w:val="00916FA3"/>
    <w:rsid w:val="00A358D9"/>
    <w:rsid w:val="00A9397F"/>
    <w:rsid w:val="00A95AF2"/>
    <w:rsid w:val="00AB79AC"/>
    <w:rsid w:val="00AF5865"/>
    <w:rsid w:val="00B04931"/>
    <w:rsid w:val="00B27265"/>
    <w:rsid w:val="00B46636"/>
    <w:rsid w:val="00B53F38"/>
    <w:rsid w:val="00B561F6"/>
    <w:rsid w:val="00BC02B7"/>
    <w:rsid w:val="00BC415C"/>
    <w:rsid w:val="00C51210"/>
    <w:rsid w:val="00C82238"/>
    <w:rsid w:val="00CB21B0"/>
    <w:rsid w:val="00D74CBA"/>
    <w:rsid w:val="00DF4D08"/>
    <w:rsid w:val="00E117BE"/>
    <w:rsid w:val="00E60DBF"/>
    <w:rsid w:val="00EB7422"/>
    <w:rsid w:val="00ED0BD4"/>
    <w:rsid w:val="00F16767"/>
    <w:rsid w:val="00F175B3"/>
    <w:rsid w:val="00F61F26"/>
    <w:rsid w:val="00F70604"/>
    <w:rsid w:val="00F7082B"/>
    <w:rsid w:val="00F83789"/>
    <w:rsid w:val="00FC025A"/>
    <w:rsid w:val="017F167F"/>
    <w:rsid w:val="01823017"/>
    <w:rsid w:val="025A0A2B"/>
    <w:rsid w:val="026D2198"/>
    <w:rsid w:val="02CE65F3"/>
    <w:rsid w:val="03D1733D"/>
    <w:rsid w:val="03DD793C"/>
    <w:rsid w:val="04556886"/>
    <w:rsid w:val="0487337A"/>
    <w:rsid w:val="04F02DF6"/>
    <w:rsid w:val="059B5447"/>
    <w:rsid w:val="05EF2471"/>
    <w:rsid w:val="064F3814"/>
    <w:rsid w:val="06C71E38"/>
    <w:rsid w:val="073F3187"/>
    <w:rsid w:val="075F2FF0"/>
    <w:rsid w:val="07EF6E94"/>
    <w:rsid w:val="09651DBF"/>
    <w:rsid w:val="09D43CBE"/>
    <w:rsid w:val="09E26C68"/>
    <w:rsid w:val="0AE87493"/>
    <w:rsid w:val="0C443545"/>
    <w:rsid w:val="0CAE6707"/>
    <w:rsid w:val="0D0F61FE"/>
    <w:rsid w:val="0D116DD3"/>
    <w:rsid w:val="0D483CF9"/>
    <w:rsid w:val="0E603182"/>
    <w:rsid w:val="0EBF2044"/>
    <w:rsid w:val="0EFD1ED6"/>
    <w:rsid w:val="0F6C668F"/>
    <w:rsid w:val="106A4993"/>
    <w:rsid w:val="109728E4"/>
    <w:rsid w:val="10FE66FE"/>
    <w:rsid w:val="118264CD"/>
    <w:rsid w:val="119059E7"/>
    <w:rsid w:val="12566E44"/>
    <w:rsid w:val="12D55B48"/>
    <w:rsid w:val="1381645B"/>
    <w:rsid w:val="14313C06"/>
    <w:rsid w:val="147A6FBC"/>
    <w:rsid w:val="14CB32BF"/>
    <w:rsid w:val="154F069C"/>
    <w:rsid w:val="1598720E"/>
    <w:rsid w:val="16862BCB"/>
    <w:rsid w:val="171F1391"/>
    <w:rsid w:val="172165C6"/>
    <w:rsid w:val="1804037B"/>
    <w:rsid w:val="180F62AB"/>
    <w:rsid w:val="182E5ED6"/>
    <w:rsid w:val="193527DA"/>
    <w:rsid w:val="1A6D6B12"/>
    <w:rsid w:val="1A852957"/>
    <w:rsid w:val="1D024574"/>
    <w:rsid w:val="1DC049C1"/>
    <w:rsid w:val="1F3764A3"/>
    <w:rsid w:val="1F3B7C83"/>
    <w:rsid w:val="1F3D2DF7"/>
    <w:rsid w:val="1F90149E"/>
    <w:rsid w:val="1FEB1964"/>
    <w:rsid w:val="20307E68"/>
    <w:rsid w:val="22583A85"/>
    <w:rsid w:val="23961DE1"/>
    <w:rsid w:val="239A73B4"/>
    <w:rsid w:val="23BC278B"/>
    <w:rsid w:val="23D04E2B"/>
    <w:rsid w:val="24601B37"/>
    <w:rsid w:val="24E94823"/>
    <w:rsid w:val="25AA346C"/>
    <w:rsid w:val="26763BDA"/>
    <w:rsid w:val="268F2ACB"/>
    <w:rsid w:val="27501E13"/>
    <w:rsid w:val="277F61BA"/>
    <w:rsid w:val="27E33B21"/>
    <w:rsid w:val="27E901FE"/>
    <w:rsid w:val="28FB56A0"/>
    <w:rsid w:val="297D29F7"/>
    <w:rsid w:val="2AF97F99"/>
    <w:rsid w:val="2B776B47"/>
    <w:rsid w:val="2C3427BD"/>
    <w:rsid w:val="2C60231D"/>
    <w:rsid w:val="2CCB27F2"/>
    <w:rsid w:val="2D1E0E47"/>
    <w:rsid w:val="2E14263E"/>
    <w:rsid w:val="2E7276BA"/>
    <w:rsid w:val="2EE6088A"/>
    <w:rsid w:val="2F4A474A"/>
    <w:rsid w:val="2F4D0309"/>
    <w:rsid w:val="2F68562D"/>
    <w:rsid w:val="314457FD"/>
    <w:rsid w:val="31A1522A"/>
    <w:rsid w:val="3226430A"/>
    <w:rsid w:val="32F14872"/>
    <w:rsid w:val="33C36EC8"/>
    <w:rsid w:val="33C738B9"/>
    <w:rsid w:val="34743B10"/>
    <w:rsid w:val="34E53DE5"/>
    <w:rsid w:val="34EB071A"/>
    <w:rsid w:val="35547CBE"/>
    <w:rsid w:val="35C47254"/>
    <w:rsid w:val="362306F6"/>
    <w:rsid w:val="36267F6B"/>
    <w:rsid w:val="36B14C2F"/>
    <w:rsid w:val="38101BE2"/>
    <w:rsid w:val="39287D2C"/>
    <w:rsid w:val="397F29B9"/>
    <w:rsid w:val="39905A0E"/>
    <w:rsid w:val="399B67EF"/>
    <w:rsid w:val="39B74813"/>
    <w:rsid w:val="3A480879"/>
    <w:rsid w:val="3A771E09"/>
    <w:rsid w:val="3B704E93"/>
    <w:rsid w:val="3BD62B33"/>
    <w:rsid w:val="3BDA407E"/>
    <w:rsid w:val="3CF76FCD"/>
    <w:rsid w:val="3CFA3A4F"/>
    <w:rsid w:val="3D5A1F36"/>
    <w:rsid w:val="3E2C73D3"/>
    <w:rsid w:val="3E3564F9"/>
    <w:rsid w:val="3E965992"/>
    <w:rsid w:val="3EAF5DC8"/>
    <w:rsid w:val="3EBB2F5E"/>
    <w:rsid w:val="3EDA521D"/>
    <w:rsid w:val="3FF45BE3"/>
    <w:rsid w:val="40EB00E2"/>
    <w:rsid w:val="40ED75C4"/>
    <w:rsid w:val="414674A2"/>
    <w:rsid w:val="425D6AA9"/>
    <w:rsid w:val="429517DA"/>
    <w:rsid w:val="4337720A"/>
    <w:rsid w:val="43C750F9"/>
    <w:rsid w:val="465F7543"/>
    <w:rsid w:val="47A516C5"/>
    <w:rsid w:val="48810F51"/>
    <w:rsid w:val="48B627D9"/>
    <w:rsid w:val="4B225279"/>
    <w:rsid w:val="4B2F4980"/>
    <w:rsid w:val="4B4A2E8A"/>
    <w:rsid w:val="4CE04441"/>
    <w:rsid w:val="4D4D109D"/>
    <w:rsid w:val="4DAC7FAE"/>
    <w:rsid w:val="4E385009"/>
    <w:rsid w:val="4EB4356D"/>
    <w:rsid w:val="50665966"/>
    <w:rsid w:val="50F57160"/>
    <w:rsid w:val="52BE06DD"/>
    <w:rsid w:val="534529BA"/>
    <w:rsid w:val="53955B43"/>
    <w:rsid w:val="53B02CA9"/>
    <w:rsid w:val="543C1E68"/>
    <w:rsid w:val="54686B12"/>
    <w:rsid w:val="54FE3628"/>
    <w:rsid w:val="551378AC"/>
    <w:rsid w:val="55D23663"/>
    <w:rsid w:val="55D63BA4"/>
    <w:rsid w:val="56C32339"/>
    <w:rsid w:val="56C327F3"/>
    <w:rsid w:val="56D55E20"/>
    <w:rsid w:val="56F34CB3"/>
    <w:rsid w:val="575B328C"/>
    <w:rsid w:val="58341AD5"/>
    <w:rsid w:val="584A4ED6"/>
    <w:rsid w:val="591969DB"/>
    <w:rsid w:val="597C3305"/>
    <w:rsid w:val="59E82146"/>
    <w:rsid w:val="59F95D34"/>
    <w:rsid w:val="5A870A1D"/>
    <w:rsid w:val="5ABF59A5"/>
    <w:rsid w:val="5C616DB1"/>
    <w:rsid w:val="5D2060B7"/>
    <w:rsid w:val="5DC06370"/>
    <w:rsid w:val="5EFD5D16"/>
    <w:rsid w:val="5F6522B4"/>
    <w:rsid w:val="5F700764"/>
    <w:rsid w:val="5FFA14C4"/>
    <w:rsid w:val="60143D2E"/>
    <w:rsid w:val="60902C7A"/>
    <w:rsid w:val="60E81B0A"/>
    <w:rsid w:val="611D2FE9"/>
    <w:rsid w:val="624D6E74"/>
    <w:rsid w:val="62756038"/>
    <w:rsid w:val="62F9026E"/>
    <w:rsid w:val="62FD0B1A"/>
    <w:rsid w:val="64B0733A"/>
    <w:rsid w:val="658635C1"/>
    <w:rsid w:val="67CE44CF"/>
    <w:rsid w:val="688D2B26"/>
    <w:rsid w:val="68E91317"/>
    <w:rsid w:val="69756C09"/>
    <w:rsid w:val="6C7456D1"/>
    <w:rsid w:val="6C790D08"/>
    <w:rsid w:val="6CED3E8E"/>
    <w:rsid w:val="6D190B31"/>
    <w:rsid w:val="6D8631CF"/>
    <w:rsid w:val="6DF95E79"/>
    <w:rsid w:val="6E705412"/>
    <w:rsid w:val="6EB5259F"/>
    <w:rsid w:val="6FAD67D4"/>
    <w:rsid w:val="70CE0D6F"/>
    <w:rsid w:val="711D1802"/>
    <w:rsid w:val="714E7DA2"/>
    <w:rsid w:val="718022FE"/>
    <w:rsid w:val="71927CF9"/>
    <w:rsid w:val="7229002C"/>
    <w:rsid w:val="72FC7ABF"/>
    <w:rsid w:val="743977E3"/>
    <w:rsid w:val="74A969F6"/>
    <w:rsid w:val="75C91221"/>
    <w:rsid w:val="76744ABE"/>
    <w:rsid w:val="76A87BC9"/>
    <w:rsid w:val="77087A9B"/>
    <w:rsid w:val="775A67B3"/>
    <w:rsid w:val="77C42BFC"/>
    <w:rsid w:val="78A84321"/>
    <w:rsid w:val="791E1379"/>
    <w:rsid w:val="79976E8E"/>
    <w:rsid w:val="79C50E46"/>
    <w:rsid w:val="79F43873"/>
    <w:rsid w:val="7A254D9E"/>
    <w:rsid w:val="7B1613A2"/>
    <w:rsid w:val="7C2B44BD"/>
    <w:rsid w:val="7C5A20B2"/>
    <w:rsid w:val="7C894F90"/>
    <w:rsid w:val="7CA94459"/>
    <w:rsid w:val="7CED6A1B"/>
    <w:rsid w:val="7EBF71D0"/>
    <w:rsid w:val="7F886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rFonts w:ascii="宋体" w:hAnsi="宋体" w:cs="Courier New"/>
      <w:b/>
      <w:bCs/>
      <w:sz w:val="32"/>
      <w:szCs w:val="32"/>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qFormat/>
    <w:uiPriority w:val="99"/>
    <w:rPr>
      <w:sz w:val="18"/>
      <w:szCs w:val="18"/>
    </w:rPr>
  </w:style>
  <w:style w:type="paragraph" w:customStyle="1" w:styleId="10">
    <w:name w:val="p0"/>
    <w:basedOn w:val="1"/>
    <w:qFormat/>
    <w:uiPriority w:val="0"/>
    <w:pPr>
      <w:widowControl/>
    </w:pPr>
    <w:rPr>
      <w:rFonts w:ascii="Times New Roman" w:hAnsi="Times New Roman" w:eastAsia="宋体" w:cs="Times New Roman"/>
      <w:kern w:val="0"/>
      <w:szCs w:val="21"/>
    </w:rPr>
  </w:style>
  <w:style w:type="character" w:customStyle="1" w:styleId="11">
    <w:name w:val="批注框文本 Char"/>
    <w:basedOn w:val="6"/>
    <w:link w:val="2"/>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533</Words>
  <Characters>3039</Characters>
  <Lines>25</Lines>
  <Paragraphs>7</Paragraphs>
  <TotalTime>1</TotalTime>
  <ScaleCrop>false</ScaleCrop>
  <LinksUpToDate>false</LinksUpToDate>
  <CharactersWithSpaces>3565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2021-03-26T07:38:00Z</dcterms:created>
  <dc:creator>王颖</dc:creator>
  <cp:lastModifiedBy>祝晓燕</cp:lastModifiedBy>
  <cp:lastPrinted>2021-03-22T07:23:00Z</cp:lastPrinted>
  <dcterms:modified xsi:type="dcterms:W3CDTF">2022-08-24T08:40:47Z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65AD97916112424E95808CF8C7F32FDD</vt:lpwstr>
  </property>
</Properties>
</file>